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 w:line="560" w:lineRule="exact"/>
        <w:jc w:val="center"/>
        <w:rPr>
          <w:rFonts w:ascii="Times New Roman" w:hAnsi="仿宋_GB2312" w:eastAsia="仿宋_GB2312" w:cs="Times New Roman"/>
          <w:b/>
          <w:bCs/>
          <w:kern w:val="2"/>
          <w:sz w:val="32"/>
          <w:szCs w:val="32"/>
          <w:shd w:val="clear" w:color="auto" w:fill="FFFFFF"/>
        </w:rPr>
      </w:pPr>
      <w:r>
        <w:rPr>
          <w:rFonts w:ascii="Times New Roman" w:hAnsi="仿宋_GB2312" w:eastAsia="仿宋_GB2312" w:cs="Times New Roman"/>
          <w:b/>
          <w:bCs/>
          <w:kern w:val="2"/>
          <w:sz w:val="32"/>
          <w:szCs w:val="32"/>
          <w:shd w:val="clear" w:color="auto" w:fill="FFFFFF"/>
        </w:rPr>
        <w:t>市市场监管委 市药监局关于印发</w:t>
      </w:r>
    </w:p>
    <w:p>
      <w:pPr>
        <w:pStyle w:val="3"/>
        <w:widowControl/>
        <w:spacing w:line="560" w:lineRule="exact"/>
        <w:jc w:val="center"/>
        <w:rPr>
          <w:rFonts w:ascii="Times New Roman" w:hAnsi="Times New Roman" w:eastAsia="仿宋_GB2312"/>
          <w:b/>
          <w:bCs/>
          <w:szCs w:val="32"/>
          <w:shd w:val="clear" w:color="auto" w:fill="FFFFFF"/>
        </w:rPr>
      </w:pPr>
      <w:bookmarkStart w:id="0" w:name="_GoBack"/>
      <w:r>
        <w:rPr>
          <w:rFonts w:ascii="Times New Roman" w:hAnsi="仿宋_GB2312" w:eastAsia="仿宋_GB2312" w:cs="Times New Roman"/>
          <w:b/>
          <w:bCs/>
          <w:kern w:val="2"/>
          <w:sz w:val="32"/>
          <w:szCs w:val="32"/>
          <w:shd w:val="clear" w:color="auto" w:fill="FFFFFF"/>
        </w:rPr>
        <w:t>天津市市场监管领域免罚清单的通知</w:t>
      </w:r>
      <w:bookmarkEnd w:id="0"/>
    </w:p>
    <w:p>
      <w:pPr>
        <w:spacing w:line="560" w:lineRule="exact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</w:rPr>
        <w:t>市药监局、市知识产权局，各区市场监管局，委机关各处室及执法总队：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为进一步深化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“</w:t>
      </w: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放管服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”</w:t>
      </w: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改革，打造宽松便利、开放包容、公平竞争的营商环境，探索建立市场主体轻微违法行为容错纠错机制，实现法律效果和社会效果的有机统一，根据《行政处罚法》《优化营商环境条例》等法律法规规定，市市场监管委</w:t>
      </w:r>
      <w:r>
        <w:rPr>
          <w:rFonts w:ascii="Times New Roman" w:hAnsi="Times New Roman" w:eastAsia="仿宋_GB2312"/>
          <w:sz w:val="32"/>
          <w:szCs w:val="32"/>
        </w:rPr>
        <w:t>、市药监局</w:t>
      </w: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制定了《天津市市场监管领域免罚清单》（以下简称《免罚清单》），已经第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5</w:t>
      </w: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次委主任办公会议通过，现印发给你们，请遵照执行。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ascii="Times New Roman" w:hAnsi="黑体" w:eastAsia="黑体"/>
          <w:sz w:val="32"/>
          <w:szCs w:val="32"/>
          <w:shd w:val="clear" w:color="auto" w:fill="FFFFFF"/>
        </w:rPr>
        <w:t>一、充分认识《免罚清单》的重要意义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制定实施《免罚清单》，建立市场主体轻微违法行为容错纠错机制，回应了社会关切和企业发展需求，是准确把握法治精神、深化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“</w:t>
      </w: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放管服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”</w:t>
      </w: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改革的需要，是落实包容审慎监管理念、优化营商环境的需要，是</w:t>
      </w:r>
      <w:r>
        <w:rPr>
          <w:rFonts w:ascii="Times New Roman" w:hAnsi="Times New Roman" w:eastAsia="仿宋_GB2312"/>
          <w:sz w:val="32"/>
          <w:szCs w:val="32"/>
        </w:rPr>
        <w:t>保护企业特别是初创期中小企业合法权益、激发市场活力的需要，是</w:t>
      </w: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节约行政资源、严格规范和保障行政执法的需要。各单位要统一思想认识，高度重视、积极宣传、严格实施《免罚清单》，着力实现行政执法法律效果和社会效果相统一。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二、准确把握《免罚清单》的适用条件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《免罚清单》所列违法行为，相关法律、法规、规章规定应当先行责令改正，责令改正后当事人及时改正的，免予行政处罚；对于轻微违法行为并及时纠正，没有造成实际危害后果或者不良社会影响的，免予行政处罚。责令改正后当事人未及时改正的，依法实施行政处罚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三、坚持处罚与教育相结合原则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对于《免罚清单》所列违法行为，要通过责令改正、批评教育、告诫、约谈等措施，向当事人宣讲法律、法规、规章，教育引导当事人依法合规开展经营活动。责令当事人改正的，应按有关规定制发《责令改正通知书》，并对当事人改正情况进行复查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ascii="Times New Roman" w:hAnsi="黑体" w:eastAsia="黑体"/>
          <w:sz w:val="32"/>
          <w:szCs w:val="32"/>
        </w:rPr>
        <w:t>四、</w:t>
      </w:r>
      <w:r>
        <w:rPr>
          <w:rFonts w:ascii="Times New Roman" w:hAnsi="黑体" w:eastAsia="黑体"/>
          <w:sz w:val="32"/>
          <w:szCs w:val="32"/>
          <w:shd w:val="clear" w:color="auto" w:fill="FFFFFF"/>
        </w:rPr>
        <w:t>实施《免罚清单》应注意的问题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（一）</w:t>
      </w:r>
      <w:r>
        <w:rPr>
          <w:rFonts w:ascii="Times New Roman" w:hAnsi="Times New Roman" w:eastAsia="仿宋_GB2312"/>
          <w:sz w:val="32"/>
          <w:szCs w:val="32"/>
        </w:rPr>
        <w:t>《免罚清单》可以作为行政处罚裁量说理的内容，不得直接作为行政处罚的法律依据。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（二）《免罚清单》未列明的违法行为，符合</w:t>
      </w:r>
      <w:r>
        <w:rPr>
          <w:rFonts w:ascii="Times New Roman" w:hAnsi="仿宋_GB2312" w:eastAsia="仿宋_GB2312"/>
          <w:sz w:val="32"/>
          <w:szCs w:val="32"/>
          <w:shd w:val="clear" w:color="auto" w:fill="FFFFFF"/>
        </w:rPr>
        <w:t>法定</w:t>
      </w:r>
      <w:r>
        <w:rPr>
          <w:rFonts w:ascii="Times New Roman" w:hAnsi="Times New Roman" w:eastAsia="仿宋_GB2312"/>
          <w:sz w:val="32"/>
          <w:szCs w:val="32"/>
        </w:rPr>
        <w:t>不予处罚条件的，不得给予处罚。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（三）当事人有《免罚清单》所列轻微违法行为，同时又存在从重处罚情节的，不适用免予处罚。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（四）当事人有《免罚清单》所列轻微违法行为，免予处罚后又实施该违法行为的，不再适用免予处罚。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ascii="Times New Roman" w:hAnsi="黑体" w:eastAsia="黑体"/>
          <w:sz w:val="32"/>
          <w:szCs w:val="32"/>
          <w:shd w:val="clear" w:color="auto" w:fill="FFFFFF"/>
        </w:rPr>
        <w:t>五、本通知自发布之日起施行。</w:t>
      </w:r>
    </w:p>
    <w:p>
      <w:pPr>
        <w:spacing w:line="560" w:lineRule="exact"/>
        <w:jc w:val="both"/>
        <w:rPr>
          <w:rFonts w:ascii="Times New Roman" w:hAnsi="Times New Roman" w:eastAsia="方正小标宋简体"/>
          <w:sz w:val="32"/>
          <w:szCs w:val="32"/>
        </w:rPr>
      </w:pPr>
    </w:p>
    <w:p>
      <w:pPr>
        <w:spacing w:line="560" w:lineRule="exact"/>
        <w:ind w:firstLine="1280" w:firstLineChars="4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市市场监管委               市药监局</w:t>
      </w:r>
    </w:p>
    <w:p>
      <w:pPr>
        <w:tabs>
          <w:tab w:val="left" w:pos="7513"/>
        </w:tabs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2020年5月8日</w:t>
      </w:r>
    </w:p>
    <w:p>
      <w:pPr>
        <w:tabs>
          <w:tab w:val="left" w:pos="7513"/>
        </w:tabs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tabs>
          <w:tab w:val="left" w:pos="7513"/>
        </w:tabs>
        <w:spacing w:line="560" w:lineRule="exact"/>
        <w:ind w:firstLine="0" w:firstLineChars="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（此件主动公开）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snapToGrid w:val="0"/>
        <w:spacing w:line="600" w:lineRule="exact"/>
        <w:ind w:left="1177" w:leftChars="152" w:hanging="858" w:hangingChars="195"/>
        <w:rPr>
          <w:rFonts w:ascii="Times New Roman" w:hAnsi="Times New Roman" w:eastAsia="方正小标宋简体"/>
          <w:sz w:val="44"/>
          <w:szCs w:val="44"/>
        </w:rPr>
      </w:pPr>
    </w:p>
    <w:p/>
    <w:sectPr>
      <w:footerReference r:id="rId3" w:type="default"/>
      <w:footerReference r:id="rId4" w:type="even"/>
      <w:pgSz w:w="11906" w:h="16838"/>
      <w:pgMar w:top="1701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38" w:rightChars="161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>
      <w:rPr>
        <w:rFonts w:ascii="Times New Roman"/>
        <w:sz w:val="28"/>
        <w:szCs w:val="28"/>
      </w:rPr>
      <w:fldChar w:fldCharType="separate"/>
    </w:r>
    <w:r>
      <w:rPr>
        <w:rFonts w:ascii="Times New Roman"/>
        <w:sz w:val="28"/>
        <w:szCs w:val="28"/>
        <w:lang w:val="zh-CN"/>
      </w:rPr>
      <w:t>1</w:t>
    </w:r>
    <w:r>
      <w:rPr>
        <w:rFonts w:ascii="Times New Roman"/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081" w:wrap="around" w:vAnchor="text" w:hAnchor="page" w:x="1846" w:y="-342"/>
      <w:rPr>
        <w:rStyle w:val="6"/>
        <w:sz w:val="21"/>
        <w:szCs w:val="21"/>
      </w:rPr>
    </w:pPr>
    <w:r>
      <w:rPr>
        <w:rStyle w:val="6"/>
        <w:rFonts w:ascii="Times New Roman"/>
        <w:sz w:val="28"/>
        <w:szCs w:val="28"/>
      </w:rPr>
      <w:t>—</w:t>
    </w:r>
    <w:r>
      <w:rPr>
        <w:rFonts w:ascii="Times New Roman"/>
        <w:sz w:val="28"/>
        <w:szCs w:val="28"/>
      </w:rPr>
      <w:fldChar w:fldCharType="begin"/>
    </w:r>
    <w:r>
      <w:rPr>
        <w:rStyle w:val="6"/>
        <w:rFonts w:ascii="Times New Roman"/>
        <w:sz w:val="28"/>
        <w:szCs w:val="28"/>
      </w:rPr>
      <w:instrText xml:space="preserve">PAGE  </w:instrText>
    </w:r>
    <w:r>
      <w:rPr>
        <w:rFonts w:ascii="Times New Roman"/>
        <w:sz w:val="28"/>
        <w:szCs w:val="28"/>
      </w:rPr>
      <w:fldChar w:fldCharType="separate"/>
    </w:r>
    <w:r>
      <w:rPr>
        <w:rStyle w:val="6"/>
        <w:rFonts w:ascii="Times New Roman"/>
        <w:sz w:val="28"/>
        <w:szCs w:val="28"/>
      </w:rPr>
      <w:t>2</w:t>
    </w:r>
    <w:r>
      <w:rPr>
        <w:rFonts w:ascii="Times New Roman"/>
        <w:sz w:val="28"/>
        <w:szCs w:val="28"/>
      </w:rPr>
      <w:fldChar w:fldCharType="end"/>
    </w:r>
    <w:r>
      <w:rPr>
        <w:rStyle w:val="6"/>
        <w:rFonts w:ascii="Times New Roman"/>
        <w:sz w:val="28"/>
        <w:szCs w:val="28"/>
      </w:rPr>
      <w:t>—</w:t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jZTU4ZDdjZjdmNWE2N2Q4MjlhNDUxYmNiYTdkMDUifQ=="/>
  </w:docVars>
  <w:rsids>
    <w:rsidRoot w:val="677537C5"/>
    <w:rsid w:val="6775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Times New Roman" w:eastAsia="仿宋_GB2312"/>
      <w:color w:val="000000"/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929</Words>
  <Characters>932</Characters>
  <Lines>0</Lines>
  <Paragraphs>0</Paragraphs>
  <TotalTime>0</TotalTime>
  <ScaleCrop>false</ScaleCrop>
  <LinksUpToDate>false</LinksUpToDate>
  <CharactersWithSpaces>972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2023-03-07T02:22:00Z</dcterms:created>
  <dc:creator>p</dc:creator>
  <cp:lastModifiedBy>p</cp:lastModifiedBy>
  <dcterms:modified xsi:type="dcterms:W3CDTF">2023-03-07T02:23:17Z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91E6D944022A4FDF9748B3A481554D46</vt:lpwstr>
  </property>
</Properties>
</file>